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C4" w:rsidRDefault="00A32F1C" w:rsidP="00523ADE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AC94327" wp14:editId="6621D468">
            <wp:simplePos x="0" y="0"/>
            <wp:positionH relativeFrom="column">
              <wp:posOffset>114300</wp:posOffset>
            </wp:positionH>
            <wp:positionV relativeFrom="paragraph">
              <wp:posOffset>31750</wp:posOffset>
            </wp:positionV>
            <wp:extent cx="679450" cy="552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6639_435115506593966_1083674722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F1C" w:rsidRDefault="00A32F1C" w:rsidP="00A67B8E">
      <w:pPr>
        <w:jc w:val="center"/>
        <w:rPr>
          <w:b/>
          <w:sz w:val="28"/>
          <w:szCs w:val="28"/>
          <w:highlight w:val="yellow"/>
        </w:rPr>
      </w:pPr>
    </w:p>
    <w:p w:rsidR="00A67B8E" w:rsidRPr="00A67B8E" w:rsidRDefault="00523ADE" w:rsidP="00A67B8E">
      <w:pPr>
        <w:jc w:val="center"/>
        <w:rPr>
          <w:b/>
          <w:sz w:val="28"/>
          <w:szCs w:val="28"/>
        </w:rPr>
      </w:pPr>
      <w:r w:rsidRPr="0073402F">
        <w:rPr>
          <w:b/>
          <w:sz w:val="28"/>
          <w:szCs w:val="28"/>
          <w:highlight w:val="yellow"/>
        </w:rPr>
        <w:t xml:space="preserve">Notice of PARCC </w:t>
      </w:r>
      <w:r w:rsidR="00B878BB" w:rsidRPr="0073402F">
        <w:rPr>
          <w:b/>
          <w:sz w:val="28"/>
          <w:szCs w:val="28"/>
          <w:highlight w:val="yellow"/>
        </w:rPr>
        <w:t>Assessment</w:t>
      </w:r>
      <w:r w:rsidRPr="0073402F">
        <w:rPr>
          <w:b/>
          <w:sz w:val="28"/>
          <w:szCs w:val="28"/>
          <w:highlight w:val="yellow"/>
        </w:rPr>
        <w:t xml:space="preserve"> Refusal—New Jersey</w:t>
      </w:r>
    </w:p>
    <w:p w:rsidR="00523ADE" w:rsidRPr="0073402F" w:rsidRDefault="00A67B8E" w:rsidP="00523ADE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Common Core-aligned </w:t>
      </w:r>
      <w:r w:rsidR="00E7729F" w:rsidRPr="0073402F">
        <w:rPr>
          <w:b/>
          <w:sz w:val="20"/>
          <w:szCs w:val="20"/>
        </w:rPr>
        <w:t xml:space="preserve">PARCC assessments, which are scheduled to be administered </w:t>
      </w:r>
      <w:r w:rsidR="0073402F" w:rsidRPr="0073402F">
        <w:rPr>
          <w:b/>
          <w:sz w:val="20"/>
          <w:szCs w:val="20"/>
        </w:rPr>
        <w:t xml:space="preserve">this year </w:t>
      </w:r>
      <w:r w:rsidR="00E7729F" w:rsidRPr="0073402F">
        <w:rPr>
          <w:b/>
          <w:sz w:val="20"/>
          <w:szCs w:val="20"/>
        </w:rPr>
        <w:t>to New Jersey students in grades 3-11, are a detriment to the State’s children, teachers, and schools for the following reasons:</w:t>
      </w:r>
    </w:p>
    <w:p w:rsidR="00E7729F" w:rsidRPr="00FA3F98" w:rsidRDefault="00E7729F" w:rsidP="00523ADE">
      <w:pPr>
        <w:rPr>
          <w:sz w:val="20"/>
          <w:szCs w:val="20"/>
        </w:rPr>
      </w:pPr>
    </w:p>
    <w:p w:rsidR="00E7729F" w:rsidRPr="00FA3F98" w:rsidRDefault="00E7729F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>PARCC assessments are created and scored by Pearson, a for-profit corporation with a decades-long history of test-construction and test-scoring errors.</w:t>
      </w:r>
    </w:p>
    <w:p w:rsidR="00E7729F" w:rsidRPr="00FA3F98" w:rsidRDefault="00E7729F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 xml:space="preserve">Despite their claim to “see how children are progressing in school and whether they are on track for postsecondary success,” PARCC assessments </w:t>
      </w:r>
      <w:r w:rsidR="00B878BB" w:rsidRPr="00FA3F98">
        <w:rPr>
          <w:sz w:val="20"/>
          <w:szCs w:val="20"/>
        </w:rPr>
        <w:t>are neither accurate measures of student learning nor</w:t>
      </w:r>
      <w:r w:rsidRPr="00FA3F98">
        <w:rPr>
          <w:sz w:val="20"/>
          <w:szCs w:val="20"/>
        </w:rPr>
        <w:t xml:space="preserve"> appropriate predictors of a child’s postsecondary success or failure.</w:t>
      </w:r>
    </w:p>
    <w:p w:rsidR="00E7729F" w:rsidRPr="00FA3F98" w:rsidRDefault="00E7729F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>The costs associated with PARCC assessments are exorbitant and largely unfunded—and have forced many districts to cut essential programs and personnel.</w:t>
      </w:r>
    </w:p>
    <w:p w:rsidR="00E7729F" w:rsidRPr="00FA3F98" w:rsidRDefault="00E7729F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 xml:space="preserve">PARCC assessments do not provide students and teachers with any type of meaningful feedback. </w:t>
      </w:r>
    </w:p>
    <w:p w:rsidR="005D5AE3" w:rsidRPr="00FA3F98" w:rsidRDefault="005D5AE3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>PARCC assessments consume an unreasonable amount of instructional time.</w:t>
      </w:r>
    </w:p>
    <w:p w:rsidR="005D5AE3" w:rsidRPr="00FA3F98" w:rsidRDefault="005D5AE3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 xml:space="preserve">The PARCC </w:t>
      </w:r>
      <w:r w:rsidR="007A2A95">
        <w:rPr>
          <w:sz w:val="20"/>
          <w:szCs w:val="20"/>
        </w:rPr>
        <w:t>online assessments are difficult to manipulate, and student struggles with the PARCC interface will be reflected in scores.</w:t>
      </w:r>
    </w:p>
    <w:p w:rsidR="005D5AE3" w:rsidRPr="00FA3F98" w:rsidRDefault="005D5AE3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>Research clearly suggests that standardized assessments like PARCC disproportionately and negatively affect minority, socioeconomically-disadvantaged, special needs, and English language learner populations.</w:t>
      </w:r>
    </w:p>
    <w:p w:rsidR="00E7729F" w:rsidRPr="00FA3F98" w:rsidRDefault="005D5AE3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>When school ratings and teacher evaluations are tied to standardized test scores, teachers are virtually forced to replace meaningful learning with test preparation.</w:t>
      </w:r>
    </w:p>
    <w:p w:rsidR="005D5AE3" w:rsidRPr="00FA3F98" w:rsidRDefault="005D5AE3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>Online assessments require districts to share student information beyond what is reasonable and appropriate.</w:t>
      </w:r>
    </w:p>
    <w:p w:rsidR="005D5AE3" w:rsidRPr="00FA3F98" w:rsidRDefault="005D5AE3" w:rsidP="00E7729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A3F98">
        <w:rPr>
          <w:sz w:val="20"/>
          <w:szCs w:val="20"/>
        </w:rPr>
        <w:t>The act of determining cut scores after students have taken standardized assessments, presumably for the purposes of achieving predetermined passing and failure rates, is inherently flawed.</w:t>
      </w:r>
    </w:p>
    <w:p w:rsidR="009242FA" w:rsidRPr="00FA3F98" w:rsidRDefault="009242FA" w:rsidP="009242FA">
      <w:pPr>
        <w:rPr>
          <w:sz w:val="20"/>
          <w:szCs w:val="20"/>
        </w:rPr>
      </w:pPr>
    </w:p>
    <w:p w:rsidR="009242FA" w:rsidRPr="00FA3F98" w:rsidRDefault="0073402F" w:rsidP="009242FA">
      <w:pPr>
        <w:rPr>
          <w:sz w:val="20"/>
          <w:szCs w:val="20"/>
        </w:rPr>
      </w:pPr>
      <w:r w:rsidRPr="00A67B8E">
        <w:rPr>
          <w:sz w:val="20"/>
          <w:szCs w:val="20"/>
          <w:highlight w:val="yellow"/>
        </w:rPr>
        <w:t>As such</w:t>
      </w:r>
      <w:r w:rsidR="009242FA" w:rsidRPr="00A67B8E">
        <w:rPr>
          <w:sz w:val="20"/>
          <w:szCs w:val="20"/>
          <w:highlight w:val="yellow"/>
        </w:rPr>
        <w:t>, I/we</w:t>
      </w:r>
      <w:r w:rsidR="00A67B8E" w:rsidRPr="00A67B8E">
        <w:rPr>
          <w:sz w:val="20"/>
          <w:szCs w:val="20"/>
          <w:highlight w:val="yellow"/>
        </w:rPr>
        <w:t>, ____________________</w:t>
      </w:r>
      <w:r w:rsidR="00684EE9">
        <w:rPr>
          <w:sz w:val="20"/>
          <w:szCs w:val="20"/>
          <w:highlight w:val="yellow"/>
        </w:rPr>
        <w:t>____</w:t>
      </w:r>
      <w:r w:rsidR="007A4D19">
        <w:rPr>
          <w:sz w:val="20"/>
          <w:szCs w:val="20"/>
          <w:highlight w:val="yellow"/>
        </w:rPr>
        <w:t>__</w:t>
      </w:r>
      <w:r w:rsidR="00A67B8E" w:rsidRPr="00A67B8E">
        <w:rPr>
          <w:sz w:val="20"/>
          <w:szCs w:val="20"/>
          <w:highlight w:val="yellow"/>
        </w:rPr>
        <w:t>____</w:t>
      </w:r>
      <w:r w:rsidR="00684EE9">
        <w:rPr>
          <w:sz w:val="20"/>
          <w:szCs w:val="20"/>
          <w:highlight w:val="yellow"/>
        </w:rPr>
        <w:t>_</w:t>
      </w:r>
      <w:r w:rsidR="00A67B8E" w:rsidRPr="00A67B8E">
        <w:rPr>
          <w:sz w:val="20"/>
          <w:szCs w:val="20"/>
          <w:highlight w:val="yellow"/>
        </w:rPr>
        <w:t>___________</w:t>
      </w:r>
      <w:r w:rsidR="009242FA" w:rsidRPr="00A67B8E">
        <w:rPr>
          <w:b/>
          <w:sz w:val="20"/>
          <w:szCs w:val="20"/>
          <w:highlight w:val="yellow"/>
          <w:u w:val="single"/>
        </w:rPr>
        <w:t xml:space="preserve">refuse to allow our </w:t>
      </w:r>
      <w:proofErr w:type="gramStart"/>
      <w:r w:rsidR="009242FA" w:rsidRPr="00A67B8E">
        <w:rPr>
          <w:b/>
          <w:sz w:val="20"/>
          <w:szCs w:val="20"/>
          <w:highlight w:val="yellow"/>
          <w:u w:val="single"/>
        </w:rPr>
        <w:t>child(</w:t>
      </w:r>
      <w:proofErr w:type="gramEnd"/>
      <w:r w:rsidR="009242FA" w:rsidRPr="00A67B8E">
        <w:rPr>
          <w:b/>
          <w:sz w:val="20"/>
          <w:szCs w:val="20"/>
          <w:highlight w:val="yellow"/>
          <w:u w:val="single"/>
        </w:rPr>
        <w:t>ren),</w:t>
      </w:r>
      <w:r w:rsidR="009242FA" w:rsidRPr="00A67B8E">
        <w:rPr>
          <w:sz w:val="20"/>
          <w:szCs w:val="20"/>
          <w:highlight w:val="yellow"/>
        </w:rPr>
        <w:t xml:space="preserve"> _______________</w:t>
      </w:r>
      <w:r w:rsidR="00684EE9">
        <w:rPr>
          <w:sz w:val="20"/>
          <w:szCs w:val="20"/>
          <w:highlight w:val="yellow"/>
        </w:rPr>
        <w:t>__</w:t>
      </w:r>
      <w:r w:rsidR="009242FA" w:rsidRPr="00A67B8E">
        <w:rPr>
          <w:sz w:val="20"/>
          <w:szCs w:val="20"/>
          <w:highlight w:val="yellow"/>
        </w:rPr>
        <w:t>___________</w:t>
      </w:r>
      <w:r w:rsidRPr="00A67B8E">
        <w:rPr>
          <w:sz w:val="20"/>
          <w:szCs w:val="20"/>
          <w:highlight w:val="yellow"/>
        </w:rPr>
        <w:t>___</w:t>
      </w:r>
      <w:r w:rsidR="009242FA" w:rsidRPr="00A67B8E">
        <w:rPr>
          <w:sz w:val="20"/>
          <w:szCs w:val="20"/>
          <w:highlight w:val="yellow"/>
        </w:rPr>
        <w:t>______</w:t>
      </w:r>
      <w:r w:rsidR="007A4D19">
        <w:rPr>
          <w:sz w:val="20"/>
          <w:szCs w:val="20"/>
          <w:highlight w:val="yellow"/>
        </w:rPr>
        <w:t>____</w:t>
      </w:r>
      <w:r w:rsidR="009242FA" w:rsidRPr="00A67B8E">
        <w:rPr>
          <w:sz w:val="20"/>
          <w:szCs w:val="20"/>
          <w:highlight w:val="yellow"/>
        </w:rPr>
        <w:t>___, to participate in the following:</w:t>
      </w:r>
    </w:p>
    <w:p w:rsidR="009242FA" w:rsidRPr="00FA3F98" w:rsidRDefault="009242FA" w:rsidP="009242FA">
      <w:pPr>
        <w:rPr>
          <w:sz w:val="20"/>
          <w:szCs w:val="20"/>
        </w:rPr>
      </w:pPr>
    </w:p>
    <w:p w:rsidR="00FA3F98" w:rsidRPr="0007018C" w:rsidRDefault="009242FA" w:rsidP="0007018C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3F98">
        <w:rPr>
          <w:sz w:val="20"/>
          <w:szCs w:val="20"/>
        </w:rPr>
        <w:t xml:space="preserve">PARCC Performance-Based Assessments </w:t>
      </w:r>
    </w:p>
    <w:p w:rsidR="00FA3F98" w:rsidRPr="0007018C" w:rsidRDefault="009242FA" w:rsidP="00FA3F98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3F98">
        <w:rPr>
          <w:sz w:val="20"/>
          <w:szCs w:val="20"/>
        </w:rPr>
        <w:t>PARCC End-Of-Year Assessments</w:t>
      </w:r>
    </w:p>
    <w:p w:rsidR="009242FA" w:rsidRDefault="009242FA" w:rsidP="009242FA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FA3F98">
        <w:rPr>
          <w:sz w:val="20"/>
          <w:szCs w:val="20"/>
        </w:rPr>
        <w:t>Any test-prep activities, computer- or paper-based, associated with or designed to prepare for PARCC assessments</w:t>
      </w:r>
    </w:p>
    <w:p w:rsidR="0073402F" w:rsidRPr="00FA3F98" w:rsidRDefault="0073402F" w:rsidP="00FA3F98">
      <w:pPr>
        <w:rPr>
          <w:sz w:val="20"/>
          <w:szCs w:val="20"/>
        </w:rPr>
      </w:pPr>
    </w:p>
    <w:p w:rsidR="00523ADE" w:rsidRPr="00FA3F98" w:rsidRDefault="00684EE9" w:rsidP="00523ADE">
      <w:pPr>
        <w:rPr>
          <w:sz w:val="20"/>
          <w:szCs w:val="20"/>
        </w:rPr>
      </w:pPr>
      <w:r>
        <w:rPr>
          <w:sz w:val="20"/>
          <w:szCs w:val="20"/>
        </w:rPr>
        <w:t>In addition, I/we refuse</w:t>
      </w:r>
      <w:r w:rsidR="00FA3F98" w:rsidRPr="00FA3F98">
        <w:rPr>
          <w:sz w:val="20"/>
          <w:szCs w:val="20"/>
        </w:rPr>
        <w:t xml:space="preserve"> to allow our </w:t>
      </w:r>
      <w:proofErr w:type="gramStart"/>
      <w:r w:rsidR="00FA3F98" w:rsidRPr="00FA3F98">
        <w:rPr>
          <w:sz w:val="20"/>
          <w:szCs w:val="20"/>
        </w:rPr>
        <w:t>child(</w:t>
      </w:r>
      <w:proofErr w:type="gramEnd"/>
      <w:r w:rsidR="00FA3F98" w:rsidRPr="00FA3F98">
        <w:rPr>
          <w:sz w:val="20"/>
          <w:szCs w:val="20"/>
        </w:rPr>
        <w:t xml:space="preserve">ren) to participate in other standardized tests (check all that apply): </w:t>
      </w:r>
    </w:p>
    <w:p w:rsidR="00FA3F98" w:rsidRPr="00FA3F98" w:rsidRDefault="00FA3F98" w:rsidP="00523ADE">
      <w:pPr>
        <w:rPr>
          <w:sz w:val="20"/>
          <w:szCs w:val="20"/>
        </w:rPr>
      </w:pPr>
    </w:p>
    <w:p w:rsidR="00FA3F98" w:rsidRPr="00FA3F98" w:rsidRDefault="00FA3F98" w:rsidP="00FA3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3F98">
        <w:rPr>
          <w:sz w:val="20"/>
          <w:szCs w:val="20"/>
        </w:rPr>
        <w:t>New Jersey Assessment of Skills and Knowledge (NJASK)-- Science (grades 4 &amp; 8)</w:t>
      </w:r>
    </w:p>
    <w:p w:rsidR="00FA3F98" w:rsidRDefault="00FA3F98" w:rsidP="00FA3F98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A3F98">
        <w:rPr>
          <w:sz w:val="20"/>
          <w:szCs w:val="20"/>
        </w:rPr>
        <w:t>New Jersey Biology Competency Test (NJBCT)</w:t>
      </w:r>
    </w:p>
    <w:p w:rsidR="0073402F" w:rsidRPr="00FA3F98" w:rsidRDefault="0073402F" w:rsidP="00FA3F98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Other ___________________________________________________________</w:t>
      </w:r>
    </w:p>
    <w:p w:rsidR="00FA3F98" w:rsidRDefault="00A32F1C" w:rsidP="00FA3F98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179705</wp:posOffset>
                </wp:positionV>
                <wp:extent cx="6826250" cy="1010285"/>
                <wp:effectExtent l="0" t="0" r="12700" b="18415"/>
                <wp:wrapSquare wrapText="bothSides"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26250" cy="101028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B8E" w:rsidRDefault="0073402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Because New Jersey Education Commissioner David Hespe stated that it is up to individual districts to determine how to handle refusals, we expect that our child(ren) </w:t>
                            </w:r>
                            <w:r w:rsidRPr="0073402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will not be punished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for our decision to refuse testing. Further, as per the 2015 PARCC Spring Test Coordinator Manual, we expect that our “non-testing student” will be </w:t>
                            </w:r>
                            <w:r w:rsidRPr="0073402F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provided with alternative placement outside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the testing environment and permitted to read, do enrichment work, etc. </w:t>
                            </w:r>
                          </w:p>
                          <w:p w:rsidR="00A67B8E" w:rsidRDefault="00A6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3402F" w:rsidRPr="00335CAF" w:rsidRDefault="00A67B8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7B8E">
                              <w:rPr>
                                <w:b/>
                                <w:sz w:val="20"/>
                                <w:szCs w:val="20"/>
                              </w:rPr>
                              <w:t>This doc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ument shall serve as formal, </w:t>
                            </w:r>
                            <w:r w:rsidRPr="00A67B8E">
                              <w:rPr>
                                <w:b/>
                                <w:sz w:val="20"/>
                                <w:szCs w:val="20"/>
                              </w:rPr>
                              <w:t>written notification of our wishes.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4.15pt;width:537.5pt;height:79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" fillcolor="white [3201]" strokecolor="#c0504d [3205]" strokeweight="2pt">
                <v:path arrowok="t"/>
                <v:textbox style="mso-fit-shape-to-text:t">
                  <w:txbxContent>
                    <w:p w:rsidR="00A67B8E" w:rsidRDefault="0073402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Because New Jersey Education Commissioner David Hespe stated that it is up to individual districts to determine how to handle refusals, we expect that our child(ren) </w:t>
                      </w:r>
                      <w:r w:rsidRPr="0073402F">
                        <w:rPr>
                          <w:b/>
                          <w:color w:val="FF0000"/>
                          <w:sz w:val="20"/>
                          <w:szCs w:val="20"/>
                        </w:rPr>
                        <w:t>will not be punished</w:t>
                      </w:r>
                      <w:r>
                        <w:rPr>
                          <w:sz w:val="20"/>
                          <w:szCs w:val="20"/>
                        </w:rPr>
                        <w:t xml:space="preserve"> for our decision to refuse testing. Further, as per the 2015 PARCC Spring Test Coordinator Manual, we expect that our “non-testing student” will be </w:t>
                      </w:r>
                      <w:r w:rsidRPr="0073402F">
                        <w:rPr>
                          <w:b/>
                          <w:color w:val="FF0000"/>
                          <w:sz w:val="20"/>
                          <w:szCs w:val="20"/>
                        </w:rPr>
                        <w:t>provided with alternative placement outside</w:t>
                      </w:r>
                      <w:r>
                        <w:rPr>
                          <w:sz w:val="20"/>
                          <w:szCs w:val="20"/>
                        </w:rPr>
                        <w:t xml:space="preserve"> the testing environment and permitted to read, do enrichment work, etc. </w:t>
                      </w:r>
                    </w:p>
                    <w:p w:rsidR="00A67B8E" w:rsidRDefault="00A67B8E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3402F" w:rsidRPr="00335CAF" w:rsidRDefault="00A67B8E">
                      <w:pPr>
                        <w:rPr>
                          <w:sz w:val="20"/>
                          <w:szCs w:val="20"/>
                        </w:rPr>
                      </w:pPr>
                      <w:r w:rsidRPr="00A67B8E">
                        <w:rPr>
                          <w:b/>
                          <w:sz w:val="20"/>
                          <w:szCs w:val="20"/>
                        </w:rPr>
                        <w:t>This doc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ument shall serve as formal, </w:t>
                      </w:r>
                      <w:r w:rsidRPr="00A67B8E">
                        <w:rPr>
                          <w:b/>
                          <w:sz w:val="20"/>
                          <w:szCs w:val="20"/>
                        </w:rPr>
                        <w:t>written notification of our wishes.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3F98" w:rsidRDefault="00FA3F98" w:rsidP="00FA3F98">
      <w:pPr>
        <w:rPr>
          <w:sz w:val="20"/>
          <w:szCs w:val="20"/>
        </w:rPr>
      </w:pPr>
    </w:p>
    <w:p w:rsidR="00523ADE" w:rsidRPr="00A67B8E" w:rsidRDefault="00FA3F98" w:rsidP="00A67B8E">
      <w:pPr>
        <w:rPr>
          <w:sz w:val="20"/>
          <w:szCs w:val="20"/>
        </w:rPr>
      </w:pPr>
      <w:r w:rsidRPr="00A67B8E">
        <w:rPr>
          <w:sz w:val="20"/>
          <w:szCs w:val="20"/>
        </w:rPr>
        <w:t>Parent/Guardian Name(s)___________________________</w:t>
      </w:r>
      <w:r w:rsidR="00684EE9">
        <w:rPr>
          <w:sz w:val="20"/>
          <w:szCs w:val="20"/>
        </w:rPr>
        <w:t>____________</w:t>
      </w:r>
      <w:r w:rsidRPr="00A67B8E">
        <w:rPr>
          <w:sz w:val="20"/>
          <w:szCs w:val="20"/>
        </w:rPr>
        <w:t>____________________</w:t>
      </w:r>
    </w:p>
    <w:p w:rsidR="00FA3F98" w:rsidRPr="00FA3F98" w:rsidRDefault="00FA3F98" w:rsidP="00FA3F98">
      <w:pPr>
        <w:pStyle w:val="ListParagraph"/>
        <w:rPr>
          <w:sz w:val="20"/>
          <w:szCs w:val="20"/>
        </w:rPr>
      </w:pPr>
    </w:p>
    <w:p w:rsidR="00FA3F98" w:rsidRPr="00A67B8E" w:rsidRDefault="00FA3F98" w:rsidP="00A67B8E">
      <w:pPr>
        <w:rPr>
          <w:sz w:val="20"/>
          <w:szCs w:val="20"/>
        </w:rPr>
      </w:pPr>
      <w:r w:rsidRPr="00A67B8E">
        <w:rPr>
          <w:sz w:val="20"/>
          <w:szCs w:val="20"/>
        </w:rPr>
        <w:t>Parent/Guardian Signature(s)____________________</w:t>
      </w:r>
      <w:r w:rsidR="00684EE9">
        <w:rPr>
          <w:sz w:val="20"/>
          <w:szCs w:val="20"/>
        </w:rPr>
        <w:t>____________</w:t>
      </w:r>
      <w:r w:rsidRPr="00A67B8E">
        <w:rPr>
          <w:sz w:val="20"/>
          <w:szCs w:val="20"/>
        </w:rPr>
        <w:t xml:space="preserve">_______________________ </w:t>
      </w:r>
      <w:r w:rsidRPr="00A67B8E">
        <w:rPr>
          <w:sz w:val="20"/>
          <w:szCs w:val="20"/>
        </w:rPr>
        <w:tab/>
        <w:t>Date__________</w:t>
      </w:r>
      <w:r w:rsidR="00684EE9">
        <w:rPr>
          <w:sz w:val="20"/>
          <w:szCs w:val="20"/>
        </w:rPr>
        <w:t>_________</w:t>
      </w:r>
      <w:r w:rsidRPr="00A67B8E">
        <w:rPr>
          <w:sz w:val="20"/>
          <w:szCs w:val="20"/>
        </w:rPr>
        <w:t>_________</w:t>
      </w:r>
    </w:p>
    <w:p w:rsidR="00FA3F98" w:rsidRPr="00FA3F98" w:rsidRDefault="00FA3F98" w:rsidP="00FA3F98">
      <w:pPr>
        <w:pStyle w:val="ListParagraph"/>
        <w:ind w:left="450"/>
        <w:rPr>
          <w:sz w:val="20"/>
          <w:szCs w:val="20"/>
        </w:rPr>
      </w:pPr>
    </w:p>
    <w:p w:rsidR="00FA3F98" w:rsidRPr="00A67B8E" w:rsidRDefault="00FA3F98" w:rsidP="00A67B8E">
      <w:pPr>
        <w:rPr>
          <w:sz w:val="20"/>
          <w:szCs w:val="20"/>
        </w:rPr>
      </w:pPr>
      <w:r w:rsidRPr="00A67B8E">
        <w:rPr>
          <w:sz w:val="20"/>
          <w:szCs w:val="20"/>
        </w:rPr>
        <w:t>Parent phone_______________________________________________</w:t>
      </w:r>
      <w:r w:rsidR="00684EE9">
        <w:rPr>
          <w:sz w:val="20"/>
          <w:szCs w:val="20"/>
        </w:rPr>
        <w:t>____________</w:t>
      </w:r>
      <w:r w:rsidRPr="00A67B8E">
        <w:rPr>
          <w:sz w:val="20"/>
          <w:szCs w:val="20"/>
        </w:rPr>
        <w:t>_______________</w:t>
      </w:r>
    </w:p>
    <w:p w:rsidR="00FA3F98" w:rsidRPr="00FA3F98" w:rsidRDefault="00FA3F98" w:rsidP="00FA3F98">
      <w:pPr>
        <w:pStyle w:val="ListParagraph"/>
        <w:ind w:left="450"/>
        <w:rPr>
          <w:sz w:val="20"/>
          <w:szCs w:val="20"/>
        </w:rPr>
      </w:pPr>
    </w:p>
    <w:p w:rsidR="00684EE9" w:rsidRDefault="00FA3F98" w:rsidP="00684EE9">
      <w:pPr>
        <w:rPr>
          <w:sz w:val="20"/>
          <w:szCs w:val="20"/>
        </w:rPr>
      </w:pPr>
      <w:r w:rsidRPr="00A67B8E">
        <w:rPr>
          <w:sz w:val="20"/>
          <w:szCs w:val="20"/>
        </w:rPr>
        <w:t>Parent email____________________________________________</w:t>
      </w:r>
      <w:r w:rsidR="00684EE9">
        <w:rPr>
          <w:sz w:val="20"/>
          <w:szCs w:val="20"/>
        </w:rPr>
        <w:t>____________</w:t>
      </w:r>
      <w:r w:rsidRPr="00A67B8E">
        <w:rPr>
          <w:sz w:val="20"/>
          <w:szCs w:val="20"/>
        </w:rPr>
        <w:t>___________________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X="54" w:tblpY="250"/>
        <w:tblW w:w="105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9483"/>
      </w:tblGrid>
      <w:tr w:rsidR="0007018C" w:rsidTr="00A753FF">
        <w:trPr>
          <w:trHeight w:val="699"/>
        </w:trPr>
        <w:tc>
          <w:tcPr>
            <w:tcW w:w="1092" w:type="dxa"/>
            <w:hideMark/>
          </w:tcPr>
          <w:p w:rsidR="0007018C" w:rsidRDefault="0007018C" w:rsidP="0007018C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drawing>
                <wp:inline distT="0" distB="0" distL="0" distR="0" wp14:anchorId="29FA4B89" wp14:editId="02308843">
                  <wp:extent cx="565150" cy="476250"/>
                  <wp:effectExtent l="19050" t="0" r="6350" b="0"/>
                  <wp:docPr id="1" name="Picture 9" descr="logo_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logo_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1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83" w:type="dxa"/>
            <w:vAlign w:val="center"/>
            <w:hideMark/>
          </w:tcPr>
          <w:p w:rsidR="00A753FF" w:rsidRPr="00A753FF" w:rsidRDefault="0007018C">
            <w:pPr>
              <w:pStyle w:val="ListParagraph"/>
              <w:ind w:left="0"/>
              <w:rPr>
                <w:rFonts w:asciiTheme="majorHAnsi" w:hAnsiTheme="majorHAnsi"/>
                <w:b/>
                <w:i/>
                <w:color w:val="0000FF" w:themeColor="hyperlink"/>
                <w:sz w:val="22"/>
                <w:szCs w:val="22"/>
                <w:u w:val="single"/>
              </w:rPr>
            </w:pPr>
            <w:r w:rsidRPr="00A32F1C">
              <w:rPr>
                <w:rFonts w:asciiTheme="majorHAnsi" w:hAnsiTheme="majorHAnsi"/>
                <w:b/>
                <w:i/>
                <w:sz w:val="22"/>
                <w:szCs w:val="22"/>
              </w:rPr>
              <w:t xml:space="preserve">For more information on refusing PARCC testing, see </w:t>
            </w:r>
            <w:hyperlink r:id="rId8" w:history="1">
              <w:r w:rsidRPr="00A32F1C">
                <w:rPr>
                  <w:rStyle w:val="Hyperlink"/>
                  <w:rFonts w:asciiTheme="majorHAnsi" w:hAnsiTheme="majorHAnsi"/>
                  <w:b/>
                  <w:i/>
                  <w:sz w:val="22"/>
                  <w:szCs w:val="22"/>
                </w:rPr>
                <w:t>www.saveourschoolsnj.org/refusing-parcc-test</w:t>
              </w:r>
            </w:hyperlink>
          </w:p>
        </w:tc>
      </w:tr>
    </w:tbl>
    <w:p w:rsidR="00FA3F98" w:rsidRPr="00684EE9" w:rsidRDefault="00FA3F98" w:rsidP="00A32F1C">
      <w:pPr>
        <w:tabs>
          <w:tab w:val="left" w:pos="2400"/>
        </w:tabs>
        <w:rPr>
          <w:sz w:val="22"/>
          <w:szCs w:val="22"/>
        </w:rPr>
      </w:pPr>
    </w:p>
    <w:sectPr w:rsidR="00FA3F98" w:rsidRPr="00684EE9" w:rsidSect="00684EE9">
      <w:pgSz w:w="12240" w:h="15840"/>
      <w:pgMar w:top="630" w:right="720" w:bottom="810" w:left="810" w:header="720" w:footer="720" w:gutter="0"/>
      <w:pgBorders>
        <w:top w:val="threeDEngrave" w:sz="24" w:space="1" w:color="8DB3E2" w:themeColor="text2" w:themeTint="66"/>
        <w:left w:val="threeDEngrave" w:sz="24" w:space="4" w:color="8DB3E2" w:themeColor="text2" w:themeTint="66"/>
        <w:bottom w:val="threeDEngrave" w:sz="24" w:space="1" w:color="8DB3E2" w:themeColor="text2" w:themeTint="66"/>
        <w:right w:val="threeDEngrave" w:sz="24" w:space="4" w:color="8DB3E2" w:themeColor="text2" w:themeTint="66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14891"/>
    <w:multiLevelType w:val="hybridMultilevel"/>
    <w:tmpl w:val="4BAA3DD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512BCC"/>
    <w:multiLevelType w:val="hybridMultilevel"/>
    <w:tmpl w:val="F8F80C22"/>
    <w:lvl w:ilvl="0" w:tplc="E6A84B2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5315A1"/>
    <w:multiLevelType w:val="hybridMultilevel"/>
    <w:tmpl w:val="104227E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6E4A5656"/>
    <w:multiLevelType w:val="hybridMultilevel"/>
    <w:tmpl w:val="D9481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ADE"/>
    <w:rsid w:val="0007018C"/>
    <w:rsid w:val="00523ADE"/>
    <w:rsid w:val="00585822"/>
    <w:rsid w:val="005D5AE3"/>
    <w:rsid w:val="00677DAE"/>
    <w:rsid w:val="00684EE9"/>
    <w:rsid w:val="0073402F"/>
    <w:rsid w:val="007354A7"/>
    <w:rsid w:val="007A2A95"/>
    <w:rsid w:val="007A4D19"/>
    <w:rsid w:val="009242FA"/>
    <w:rsid w:val="00A32F1C"/>
    <w:rsid w:val="00A67B8E"/>
    <w:rsid w:val="00A753FF"/>
    <w:rsid w:val="00B878BB"/>
    <w:rsid w:val="00D762BB"/>
    <w:rsid w:val="00E518C4"/>
    <w:rsid w:val="00E7729F"/>
    <w:rsid w:val="00FA3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1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AD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018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01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veourschoolsnj.org/refusing-parcc-tes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College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McHugh</dc:creator>
  <cp:lastModifiedBy>user</cp:lastModifiedBy>
  <cp:revision>5</cp:revision>
  <cp:lastPrinted>2015-01-13T22:57:00Z</cp:lastPrinted>
  <dcterms:created xsi:type="dcterms:W3CDTF">2015-02-04T05:06:00Z</dcterms:created>
  <dcterms:modified xsi:type="dcterms:W3CDTF">2015-02-04T05:07:00Z</dcterms:modified>
</cp:coreProperties>
</file>